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E2" w:rsidRDefault="007304E2" w:rsidP="0046623E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D12FD">
        <w:rPr>
          <w:rFonts w:ascii="Arial" w:hAnsi="Arial" w:cs="Arial"/>
          <w:b/>
        </w:rPr>
        <w:t>Algumas definições e conceitos</w:t>
      </w:r>
    </w:p>
    <w:p w:rsidR="00661425" w:rsidRDefault="00661425" w:rsidP="0046623E">
      <w:pPr>
        <w:tabs>
          <w:tab w:val="left" w:pos="9180"/>
        </w:tabs>
        <w:spacing w:after="0" w:line="360" w:lineRule="auto"/>
        <w:ind w:right="-1"/>
        <w:jc w:val="both"/>
        <w:rPr>
          <w:rFonts w:ascii="Arial" w:hAnsi="Arial" w:cs="Arial"/>
          <w:b/>
          <w:u w:val="single"/>
        </w:rPr>
      </w:pPr>
    </w:p>
    <w:p w:rsidR="007304E2" w:rsidRDefault="00C25A78" w:rsidP="0046623E">
      <w:pPr>
        <w:tabs>
          <w:tab w:val="left" w:pos="9180"/>
        </w:tabs>
        <w:spacing w:after="0" w:line="360" w:lineRule="auto"/>
        <w:ind w:right="-1"/>
        <w:jc w:val="both"/>
        <w:rPr>
          <w:rFonts w:ascii="Arial" w:hAnsi="Arial" w:cs="Arial"/>
          <w:b/>
          <w:u w:val="single"/>
        </w:rPr>
      </w:pPr>
      <w:r w:rsidRPr="00C25A78">
        <w:rPr>
          <w:rFonts w:ascii="Arial" w:hAnsi="Arial" w:cs="Arial"/>
          <w:b/>
          <w:u w:val="single"/>
        </w:rPr>
        <w:t>Patrimônio genético</w:t>
      </w:r>
    </w:p>
    <w:p w:rsidR="0046623E" w:rsidRPr="00C25A78" w:rsidRDefault="0046623E" w:rsidP="0046623E">
      <w:pPr>
        <w:tabs>
          <w:tab w:val="left" w:pos="9180"/>
        </w:tabs>
        <w:spacing w:after="0" w:line="360" w:lineRule="auto"/>
        <w:ind w:right="-1"/>
        <w:jc w:val="both"/>
        <w:rPr>
          <w:rFonts w:ascii="Arial" w:hAnsi="Arial" w:cs="Arial"/>
          <w:b/>
          <w:u w:val="single"/>
        </w:rPr>
      </w:pPr>
    </w:p>
    <w:p w:rsidR="007304E2" w:rsidRDefault="007304E2" w:rsidP="0046623E">
      <w:pPr>
        <w:tabs>
          <w:tab w:val="left" w:pos="9180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815AEF">
        <w:rPr>
          <w:rFonts w:ascii="Arial" w:hAnsi="Arial" w:cs="Arial"/>
        </w:rPr>
        <w:t xml:space="preserve">Informação de origem genética, contida em amostras do todo ou de parte de espécime vegetal, </w:t>
      </w:r>
      <w:proofErr w:type="spellStart"/>
      <w:r w:rsidRPr="00815AEF">
        <w:rPr>
          <w:rFonts w:ascii="Arial" w:hAnsi="Arial" w:cs="Arial"/>
        </w:rPr>
        <w:t>fúngico</w:t>
      </w:r>
      <w:proofErr w:type="spellEnd"/>
      <w:r w:rsidRPr="00815AEF">
        <w:rPr>
          <w:rFonts w:ascii="Arial" w:hAnsi="Arial" w:cs="Arial"/>
        </w:rPr>
        <w:t xml:space="preserve">, microbiano ou animal, na forma de moléculas e substâncias provenientes do metabolismo destes seres vivos e de extratos obtidos destes organismos vivos ou mortos, encontrados em condições </w:t>
      </w:r>
      <w:r w:rsidRPr="00815AEF">
        <w:rPr>
          <w:rFonts w:ascii="Arial" w:hAnsi="Arial" w:cs="Arial"/>
          <w:i/>
        </w:rPr>
        <w:t>in situ</w:t>
      </w:r>
      <w:r w:rsidRPr="00815AEF">
        <w:rPr>
          <w:rFonts w:ascii="Arial" w:hAnsi="Arial" w:cs="Arial"/>
        </w:rPr>
        <w:t>, inclusive domesticados</w:t>
      </w:r>
      <w:r w:rsidRPr="00AD12FD">
        <w:rPr>
          <w:rFonts w:ascii="Arial" w:hAnsi="Arial" w:cs="Arial"/>
        </w:rPr>
        <w:t xml:space="preserve"> (</w:t>
      </w:r>
      <w:r w:rsidR="00815AEF">
        <w:rPr>
          <w:rFonts w:ascii="Arial" w:hAnsi="Arial" w:cs="Arial"/>
        </w:rPr>
        <w:t>aqueles</w:t>
      </w:r>
      <w:r w:rsidRPr="00AD12FD">
        <w:rPr>
          <w:rFonts w:ascii="Arial" w:hAnsi="Arial" w:cs="Arial"/>
        </w:rPr>
        <w:t xml:space="preserve"> em cujo processo de evolução influiu o ser humano para a</w:t>
      </w:r>
      <w:r w:rsidR="004D5557">
        <w:rPr>
          <w:rFonts w:ascii="Arial" w:hAnsi="Arial" w:cs="Arial"/>
        </w:rPr>
        <w:t>tender às suas necessidades a</w:t>
      </w:r>
      <w:r w:rsidR="00815AEF">
        <w:rPr>
          <w:rFonts w:ascii="Arial" w:hAnsi="Arial" w:cs="Arial"/>
        </w:rPr>
        <w:t>rt.</w:t>
      </w:r>
      <w:r w:rsidRPr="00AD12FD">
        <w:rPr>
          <w:rFonts w:ascii="Arial" w:hAnsi="Arial" w:cs="Arial"/>
        </w:rPr>
        <w:t xml:space="preserve"> 7º, </w:t>
      </w:r>
      <w:r w:rsidR="004D5557">
        <w:rPr>
          <w:rStyle w:val="st"/>
        </w:rPr>
        <w:t xml:space="preserve">inciso </w:t>
      </w:r>
      <w:r w:rsidR="004D5557">
        <w:rPr>
          <w:rFonts w:ascii="Arial" w:hAnsi="Arial" w:cs="Arial"/>
        </w:rPr>
        <w:t>IX da</w:t>
      </w:r>
      <w:r w:rsidRPr="00AD12FD">
        <w:rPr>
          <w:rFonts w:ascii="Arial" w:hAnsi="Arial" w:cs="Arial"/>
        </w:rPr>
        <w:t xml:space="preserve"> MP 2.186-16/2001), ou mantidos em coleções </w:t>
      </w:r>
      <w:proofErr w:type="spellStart"/>
      <w:r w:rsidRPr="00815AEF">
        <w:rPr>
          <w:rFonts w:ascii="Arial" w:hAnsi="Arial" w:cs="Arial"/>
          <w:i/>
        </w:rPr>
        <w:t>ex</w:t>
      </w:r>
      <w:proofErr w:type="spellEnd"/>
      <w:r w:rsidRPr="00815AEF">
        <w:rPr>
          <w:rFonts w:ascii="Arial" w:hAnsi="Arial" w:cs="Arial"/>
          <w:i/>
        </w:rPr>
        <w:t xml:space="preserve"> situ</w:t>
      </w:r>
      <w:r w:rsidRPr="00AD12FD">
        <w:rPr>
          <w:rFonts w:ascii="Arial" w:hAnsi="Arial" w:cs="Arial"/>
        </w:rPr>
        <w:t xml:space="preserve"> (manutenção de amostra de componente do patrimônio genético fora de seu habitat natural, em c</w:t>
      </w:r>
      <w:r w:rsidR="004D5557">
        <w:rPr>
          <w:rFonts w:ascii="Arial" w:hAnsi="Arial" w:cs="Arial"/>
        </w:rPr>
        <w:t xml:space="preserve">oleções vivas ou mortas art. 7º, inciso </w:t>
      </w:r>
      <w:r w:rsidRPr="00AD12FD">
        <w:rPr>
          <w:rFonts w:ascii="Arial" w:hAnsi="Arial" w:cs="Arial"/>
        </w:rPr>
        <w:t xml:space="preserve">XIV da MP 2.186-16/2001), </w:t>
      </w:r>
      <w:r w:rsidRPr="00815AEF">
        <w:rPr>
          <w:rFonts w:ascii="Arial" w:hAnsi="Arial" w:cs="Arial"/>
        </w:rPr>
        <w:t xml:space="preserve">desde que coletados em condições </w:t>
      </w:r>
      <w:r w:rsidRPr="00815AEF">
        <w:rPr>
          <w:rFonts w:ascii="Arial" w:hAnsi="Arial" w:cs="Arial"/>
          <w:i/>
        </w:rPr>
        <w:t>in situ</w:t>
      </w:r>
      <w:r w:rsidRPr="00815AEF">
        <w:rPr>
          <w:rFonts w:ascii="Arial" w:hAnsi="Arial" w:cs="Arial"/>
        </w:rPr>
        <w:t xml:space="preserve"> no território nacional, na plataforma continental ou na zona econômica exclusiva; (art. 7º</w:t>
      </w:r>
      <w:r w:rsidR="004D5557">
        <w:rPr>
          <w:rFonts w:ascii="Arial" w:hAnsi="Arial" w:cs="Arial"/>
        </w:rPr>
        <w:t>, inciso</w:t>
      </w:r>
      <w:r w:rsidRPr="00815AEF">
        <w:rPr>
          <w:rFonts w:ascii="Arial" w:hAnsi="Arial" w:cs="Arial"/>
        </w:rPr>
        <w:t xml:space="preserve"> I da MP 2.186-16/2001)</w:t>
      </w:r>
      <w:r w:rsidR="00C25A78">
        <w:rPr>
          <w:rFonts w:ascii="Arial" w:hAnsi="Arial" w:cs="Arial"/>
        </w:rPr>
        <w:t xml:space="preserve">. </w:t>
      </w:r>
    </w:p>
    <w:p w:rsidR="0046623E" w:rsidRDefault="0046623E" w:rsidP="0046623E">
      <w:pPr>
        <w:tabs>
          <w:tab w:val="left" w:pos="9180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:rsidR="007304E2" w:rsidRDefault="007304E2" w:rsidP="0046623E">
      <w:pPr>
        <w:tabs>
          <w:tab w:val="left" w:pos="9180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AD12FD">
        <w:rPr>
          <w:rFonts w:ascii="Arial" w:hAnsi="Arial" w:cs="Arial"/>
        </w:rPr>
        <w:t xml:space="preserve">Lei nº 8.617/1993 - O </w:t>
      </w:r>
      <w:r w:rsidRPr="00C25A78">
        <w:rPr>
          <w:rFonts w:ascii="Arial" w:hAnsi="Arial" w:cs="Arial"/>
          <w:b/>
          <w:bCs/>
        </w:rPr>
        <w:t>mar territorial</w:t>
      </w:r>
      <w:r w:rsidRPr="00AD12FD">
        <w:rPr>
          <w:rFonts w:ascii="Arial" w:hAnsi="Arial" w:cs="Arial"/>
        </w:rPr>
        <w:t xml:space="preserve"> compreende uma faixa de doze milhas marítima de largura, medidas a partir da linha de baixa-mar do litoral continental e insular, tal como indicada nas cartas náuticas de grande escala, reconhecidas oficialmente no Brasil (art. 1º). A </w:t>
      </w:r>
      <w:r w:rsidRPr="00AD12FD">
        <w:rPr>
          <w:rFonts w:ascii="Arial" w:hAnsi="Arial" w:cs="Arial"/>
          <w:b/>
          <w:bCs/>
        </w:rPr>
        <w:t>zona econômica exclusiva</w:t>
      </w:r>
      <w:r w:rsidRPr="00AD12FD">
        <w:rPr>
          <w:rFonts w:ascii="Arial" w:hAnsi="Arial" w:cs="Arial"/>
        </w:rPr>
        <w:t xml:space="preserve"> compreende uma faixa que se estende das doze às duzentas milhas marítimas, contadas a partir das linhas de base que servem para medir a largura do mar territorial (art. 6º). E a </w:t>
      </w:r>
      <w:r w:rsidRPr="00AD12FD">
        <w:rPr>
          <w:rFonts w:ascii="Arial" w:hAnsi="Arial" w:cs="Arial"/>
          <w:b/>
          <w:bCs/>
        </w:rPr>
        <w:t>plataforma continental</w:t>
      </w:r>
      <w:r w:rsidRPr="00AD12FD">
        <w:rPr>
          <w:rFonts w:ascii="Arial" w:hAnsi="Arial" w:cs="Arial"/>
        </w:rPr>
        <w:t xml:space="preserve"> compreende o leito e o subsolo das áreas submarinas que se estendem além do seu mar territorial, em toda a extensão do prolongamento natural de seu território terrestre, até o bordo exterior da margem continental, ou até uma distância de duzentas milhas marítimas das linhas de base, a partir das quais se mede a largura do mar territorial, nos casos em que o bordo exterior da margem continental não at</w:t>
      </w:r>
      <w:r>
        <w:rPr>
          <w:rFonts w:ascii="Arial" w:hAnsi="Arial" w:cs="Arial"/>
        </w:rPr>
        <w:t xml:space="preserve">inja essa distância (art. 11). </w:t>
      </w:r>
    </w:p>
    <w:p w:rsidR="0046623E" w:rsidRDefault="0046623E" w:rsidP="0046623E">
      <w:pPr>
        <w:tabs>
          <w:tab w:val="left" w:pos="9180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7304E2" w:rsidRDefault="007304E2" w:rsidP="0046623E">
      <w:pPr>
        <w:tabs>
          <w:tab w:val="left" w:pos="7513"/>
          <w:tab w:val="left" w:pos="9180"/>
        </w:tabs>
        <w:spacing w:after="0" w:line="360" w:lineRule="auto"/>
        <w:ind w:right="-1"/>
        <w:jc w:val="both"/>
        <w:rPr>
          <w:rFonts w:ascii="Arial" w:hAnsi="Arial" w:cs="Arial"/>
          <w:u w:val="single"/>
        </w:rPr>
      </w:pPr>
      <w:r w:rsidRPr="00C25A78">
        <w:rPr>
          <w:rFonts w:ascii="Arial" w:hAnsi="Arial" w:cs="Arial"/>
          <w:b/>
          <w:u w:val="single"/>
        </w:rPr>
        <w:t>Acesso ao patrimônio genético</w:t>
      </w:r>
      <w:r w:rsidRPr="00C25A78">
        <w:rPr>
          <w:rFonts w:ascii="Arial" w:hAnsi="Arial" w:cs="Arial"/>
          <w:u w:val="single"/>
        </w:rPr>
        <w:t xml:space="preserve"> </w:t>
      </w:r>
    </w:p>
    <w:p w:rsidR="0046623E" w:rsidRPr="00C25A78" w:rsidRDefault="0046623E" w:rsidP="0046623E">
      <w:pPr>
        <w:tabs>
          <w:tab w:val="left" w:pos="7513"/>
          <w:tab w:val="left" w:pos="9180"/>
        </w:tabs>
        <w:spacing w:after="0" w:line="360" w:lineRule="auto"/>
        <w:ind w:right="-1"/>
        <w:jc w:val="both"/>
        <w:rPr>
          <w:rFonts w:ascii="Arial" w:hAnsi="Arial" w:cs="Arial"/>
          <w:u w:val="single"/>
        </w:rPr>
      </w:pPr>
    </w:p>
    <w:p w:rsidR="007304E2" w:rsidRDefault="007304E2" w:rsidP="0046623E">
      <w:pPr>
        <w:tabs>
          <w:tab w:val="left" w:pos="709"/>
          <w:tab w:val="left" w:pos="7513"/>
          <w:tab w:val="left" w:pos="9180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AD12FD">
        <w:rPr>
          <w:rFonts w:ascii="Arial" w:hAnsi="Arial" w:cs="Arial"/>
        </w:rPr>
        <w:t xml:space="preserve">Obtenção de amostra de componente do patrimônio genético para fins de pesquisa científica, desenvolvimento tecnológico ou </w:t>
      </w:r>
      <w:proofErr w:type="spellStart"/>
      <w:r w:rsidRPr="00AD12FD">
        <w:rPr>
          <w:rFonts w:ascii="Arial" w:hAnsi="Arial" w:cs="Arial"/>
        </w:rPr>
        <w:t>bioprospecção</w:t>
      </w:r>
      <w:proofErr w:type="spellEnd"/>
      <w:r w:rsidRPr="00AD12FD">
        <w:rPr>
          <w:rFonts w:ascii="Arial" w:hAnsi="Arial" w:cs="Arial"/>
        </w:rPr>
        <w:t>, visando a sua aplicação industrial ou de outra natureza (</w:t>
      </w:r>
      <w:proofErr w:type="spellStart"/>
      <w:r w:rsidRPr="00AD12FD">
        <w:rPr>
          <w:rFonts w:ascii="Arial" w:hAnsi="Arial" w:cs="Arial"/>
        </w:rPr>
        <w:t>art</w:t>
      </w:r>
      <w:proofErr w:type="spellEnd"/>
      <w:r w:rsidRPr="00AD12FD">
        <w:rPr>
          <w:rFonts w:ascii="Arial" w:hAnsi="Arial" w:cs="Arial"/>
        </w:rPr>
        <w:t xml:space="preserve"> 7º, inc</w:t>
      </w:r>
      <w:r w:rsidR="004D5557">
        <w:rPr>
          <w:rFonts w:ascii="Arial" w:hAnsi="Arial" w:cs="Arial"/>
        </w:rPr>
        <w:t>iso</w:t>
      </w:r>
      <w:r w:rsidRPr="00AD12FD">
        <w:rPr>
          <w:rFonts w:ascii="Arial" w:hAnsi="Arial" w:cs="Arial"/>
        </w:rPr>
        <w:t xml:space="preserve"> IV da MP 2.186-16/20</w:t>
      </w:r>
      <w:r>
        <w:rPr>
          <w:rFonts w:ascii="Arial" w:hAnsi="Arial" w:cs="Arial"/>
        </w:rPr>
        <w:t>01).</w:t>
      </w:r>
    </w:p>
    <w:p w:rsidR="004D5557" w:rsidRPr="00AD12FD" w:rsidRDefault="004D5557" w:rsidP="0046623E">
      <w:pPr>
        <w:tabs>
          <w:tab w:val="left" w:pos="709"/>
          <w:tab w:val="left" w:pos="7513"/>
          <w:tab w:val="left" w:pos="9180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815AEF" w:rsidRDefault="007304E2" w:rsidP="0046623E">
      <w:pPr>
        <w:tabs>
          <w:tab w:val="left" w:pos="709"/>
          <w:tab w:val="left" w:pos="7513"/>
          <w:tab w:val="left" w:pos="9180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AD12FD">
        <w:rPr>
          <w:rFonts w:ascii="Arial" w:hAnsi="Arial" w:cs="Arial"/>
        </w:rPr>
        <w:t>Atividade realizada sobre o patrimônio genético com o objetivo de isolar, identificar ou utilizar informação de origem genética ou moléculas e substâncias provenientes do metabolismo dos seres vivos e de extratos obtidos destes organismos (Orientaç</w:t>
      </w:r>
      <w:r>
        <w:rPr>
          <w:rFonts w:ascii="Arial" w:hAnsi="Arial" w:cs="Arial"/>
        </w:rPr>
        <w:t>ão Técnica nº 01/2003- CGEN).</w:t>
      </w:r>
    </w:p>
    <w:p w:rsidR="0046623E" w:rsidRDefault="0046623E" w:rsidP="0046623E">
      <w:pPr>
        <w:tabs>
          <w:tab w:val="left" w:pos="709"/>
          <w:tab w:val="left" w:pos="7513"/>
          <w:tab w:val="left" w:pos="9180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7304E2" w:rsidRPr="00815AEF" w:rsidRDefault="007304E2" w:rsidP="00322142">
      <w:pPr>
        <w:tabs>
          <w:tab w:val="left" w:pos="709"/>
          <w:tab w:val="left" w:pos="7513"/>
          <w:tab w:val="left" w:pos="9180"/>
        </w:tabs>
        <w:spacing w:after="0" w:line="360" w:lineRule="auto"/>
        <w:jc w:val="both"/>
        <w:rPr>
          <w:rFonts w:ascii="Arial" w:hAnsi="Arial" w:cs="Arial"/>
        </w:rPr>
      </w:pPr>
      <w:r w:rsidRPr="00AD12FD">
        <w:rPr>
          <w:rFonts w:ascii="Arial" w:hAnsi="Arial" w:cs="Arial"/>
          <w:b/>
          <w:bCs/>
          <w:i/>
        </w:rPr>
        <w:t>Exceções:</w:t>
      </w:r>
    </w:p>
    <w:p w:rsidR="007304E2" w:rsidRPr="00AD12FD" w:rsidRDefault="004D5557" w:rsidP="00322142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Resolução CGEN 21/2006</w:t>
      </w:r>
    </w:p>
    <w:p w:rsidR="007304E2" w:rsidRPr="00AD12FD" w:rsidRDefault="007304E2" w:rsidP="00322142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  <w:i/>
        </w:rPr>
      </w:pPr>
      <w:r w:rsidRPr="0046623E">
        <w:rPr>
          <w:rFonts w:ascii="Arial" w:hAnsi="Arial" w:cs="Arial"/>
          <w:i/>
        </w:rPr>
        <w:lastRenderedPageBreak/>
        <w:t>Não se enquadram sob o conceito de acesso ao patrimônio genético para as finalidades da MP</w:t>
      </w:r>
      <w:r w:rsidR="0046623E" w:rsidRPr="0046623E">
        <w:rPr>
          <w:rFonts w:ascii="Arial" w:hAnsi="Arial" w:cs="Arial"/>
          <w:i/>
        </w:rPr>
        <w:t xml:space="preserve">, </w:t>
      </w:r>
      <w:r w:rsidRPr="00AD12FD">
        <w:rPr>
          <w:rFonts w:ascii="Arial" w:hAnsi="Arial" w:cs="Arial"/>
          <w:i/>
        </w:rPr>
        <w:t>as seguintes atividades científicas:</w:t>
      </w:r>
    </w:p>
    <w:p w:rsidR="007304E2" w:rsidRPr="00AD12FD" w:rsidRDefault="007304E2" w:rsidP="00322142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  <w:i/>
        </w:rPr>
      </w:pPr>
      <w:r w:rsidRPr="00AD12FD">
        <w:rPr>
          <w:rFonts w:ascii="Arial" w:hAnsi="Arial" w:cs="Arial"/>
          <w:i/>
        </w:rPr>
        <w:t>- As pesquisas que visem elucidar a história evolutiva de uma espécie ou de grupo taxonômico a partir da identificação de espécie ou espécimes, da avaliação de relações de parentesco, da avaliação da diversidade genética da população ou das relações dos seres vivos entre si ou com o meio ambiente;</w:t>
      </w:r>
    </w:p>
    <w:p w:rsidR="007304E2" w:rsidRPr="00AD12FD" w:rsidRDefault="007304E2" w:rsidP="00322142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  <w:i/>
        </w:rPr>
      </w:pPr>
      <w:r w:rsidRPr="00AD12FD">
        <w:rPr>
          <w:rFonts w:ascii="Arial" w:hAnsi="Arial" w:cs="Arial"/>
          <w:i/>
        </w:rPr>
        <w:t xml:space="preserve">- Os testes de filiação, técnicas de </w:t>
      </w:r>
      <w:proofErr w:type="spellStart"/>
      <w:r w:rsidRPr="00AD12FD">
        <w:rPr>
          <w:rFonts w:ascii="Arial" w:hAnsi="Arial" w:cs="Arial"/>
          <w:i/>
        </w:rPr>
        <w:t>sexagem</w:t>
      </w:r>
      <w:proofErr w:type="spellEnd"/>
      <w:r w:rsidRPr="00AD12FD">
        <w:rPr>
          <w:rFonts w:ascii="Arial" w:hAnsi="Arial" w:cs="Arial"/>
          <w:i/>
        </w:rPr>
        <w:t xml:space="preserve"> e análises de cariótipo que visem a identificação de uma espécie ou espécime;</w:t>
      </w:r>
    </w:p>
    <w:p w:rsidR="007304E2" w:rsidRPr="00AD12FD" w:rsidRDefault="007304E2" w:rsidP="00322142">
      <w:pPr>
        <w:spacing w:after="0" w:line="360" w:lineRule="auto"/>
        <w:jc w:val="both"/>
        <w:rPr>
          <w:rFonts w:ascii="Arial" w:hAnsi="Arial" w:cs="Arial"/>
          <w:i/>
        </w:rPr>
      </w:pPr>
      <w:r w:rsidRPr="00AD12FD">
        <w:rPr>
          <w:rFonts w:ascii="Arial" w:hAnsi="Arial" w:cs="Arial"/>
          <w:i/>
        </w:rPr>
        <w:t>- As pesquisas epidemiológicas ou aquelas que visem a identificação de agentes etiológicos de doenças, assim como a medição da concentração de substâncias conhecidas cujas quantidades, no organismo, indiquem doença ou estado fisiológico;</w:t>
      </w:r>
    </w:p>
    <w:p w:rsidR="007304E2" w:rsidRDefault="007304E2" w:rsidP="00322142">
      <w:pPr>
        <w:spacing w:after="0" w:line="360" w:lineRule="auto"/>
        <w:jc w:val="both"/>
        <w:rPr>
          <w:rFonts w:ascii="Arial" w:hAnsi="Arial" w:cs="Arial"/>
          <w:i/>
        </w:rPr>
      </w:pPr>
      <w:r w:rsidRPr="00AD12FD">
        <w:rPr>
          <w:rFonts w:ascii="Arial" w:hAnsi="Arial" w:cs="Arial"/>
          <w:i/>
        </w:rPr>
        <w:t xml:space="preserve">- As pesquisas que visem a formação de coleções de ADN, tecidos, </w:t>
      </w:r>
      <w:proofErr w:type="spellStart"/>
      <w:r w:rsidRPr="00AD12FD">
        <w:rPr>
          <w:rFonts w:ascii="Arial" w:hAnsi="Arial" w:cs="Arial"/>
          <w:i/>
        </w:rPr>
        <w:t>germoplasma</w:t>
      </w:r>
      <w:proofErr w:type="spellEnd"/>
      <w:r w:rsidRPr="00AD12FD">
        <w:rPr>
          <w:rFonts w:ascii="Arial" w:hAnsi="Arial" w:cs="Arial"/>
          <w:i/>
        </w:rPr>
        <w:t>, sangue ou soro.</w:t>
      </w:r>
    </w:p>
    <w:p w:rsidR="004D5557" w:rsidRPr="00AD12FD" w:rsidRDefault="004D5557" w:rsidP="00322142">
      <w:pPr>
        <w:spacing w:after="0" w:line="360" w:lineRule="auto"/>
        <w:jc w:val="both"/>
        <w:rPr>
          <w:rFonts w:ascii="Arial" w:hAnsi="Arial" w:cs="Arial"/>
          <w:i/>
        </w:rPr>
      </w:pPr>
    </w:p>
    <w:p w:rsidR="007304E2" w:rsidRDefault="007304E2" w:rsidP="00322142">
      <w:pPr>
        <w:spacing w:after="0" w:line="360" w:lineRule="auto"/>
        <w:jc w:val="both"/>
        <w:rPr>
          <w:rFonts w:ascii="Arial" w:hAnsi="Arial" w:cs="Arial"/>
          <w:i/>
        </w:rPr>
      </w:pPr>
      <w:r w:rsidRPr="00AD12FD">
        <w:rPr>
          <w:rFonts w:ascii="Arial" w:hAnsi="Arial" w:cs="Arial"/>
          <w:i/>
        </w:rPr>
        <w:t>Resolução CGEN 29/2007</w:t>
      </w:r>
    </w:p>
    <w:p w:rsidR="004D5557" w:rsidRPr="00AD12FD" w:rsidRDefault="004D5557" w:rsidP="00322142">
      <w:pPr>
        <w:spacing w:after="0" w:line="360" w:lineRule="auto"/>
        <w:jc w:val="both"/>
        <w:rPr>
          <w:rFonts w:ascii="Arial" w:hAnsi="Arial" w:cs="Arial"/>
          <w:i/>
        </w:rPr>
      </w:pPr>
    </w:p>
    <w:p w:rsidR="007304E2" w:rsidRPr="00AD12FD" w:rsidRDefault="007304E2" w:rsidP="00322142">
      <w:pPr>
        <w:spacing w:after="0" w:line="360" w:lineRule="auto"/>
        <w:jc w:val="both"/>
        <w:rPr>
          <w:rFonts w:ascii="Arial" w:hAnsi="Arial" w:cs="Arial"/>
          <w:i/>
        </w:rPr>
      </w:pPr>
      <w:r w:rsidRPr="00AD12FD">
        <w:rPr>
          <w:rFonts w:ascii="Arial" w:hAnsi="Arial" w:cs="Arial"/>
          <w:i/>
        </w:rPr>
        <w:t>Conside</w:t>
      </w:r>
      <w:r w:rsidR="004D5557">
        <w:rPr>
          <w:rFonts w:ascii="Arial" w:hAnsi="Arial" w:cs="Arial"/>
          <w:i/>
        </w:rPr>
        <w:t>ra</w:t>
      </w:r>
      <w:r w:rsidRPr="00AD12FD">
        <w:rPr>
          <w:rFonts w:ascii="Arial" w:hAnsi="Arial" w:cs="Arial"/>
          <w:i/>
        </w:rPr>
        <w:t xml:space="preserve"> que a elaboração de óleos fixos, essenciais e de extratos comerciais, embora envolva atividades de isolamento de componentes do patrimônio genético, em determinados contextos não caracteriza o acesso ao patrimônio genético</w:t>
      </w:r>
      <w:r w:rsidR="004D5557">
        <w:rPr>
          <w:rFonts w:ascii="Arial" w:hAnsi="Arial" w:cs="Arial"/>
          <w:i/>
        </w:rPr>
        <w:t xml:space="preserve">. Assim, não enquadra </w:t>
      </w:r>
      <w:r w:rsidRPr="00AD12FD">
        <w:rPr>
          <w:rFonts w:ascii="Arial" w:hAnsi="Arial" w:cs="Arial"/>
          <w:i/>
        </w:rPr>
        <w:t xml:space="preserve">no conceito de acesso ao patrimônio genético a </w:t>
      </w:r>
      <w:r w:rsidRPr="0046623E">
        <w:rPr>
          <w:rFonts w:ascii="Arial" w:hAnsi="Arial" w:cs="Arial"/>
          <w:i/>
        </w:rPr>
        <w:t>elaboração de óleos fixos, de óleos essenciais ou de extratos quando esses resultarem de isolamento, extração ou purificação, nos quais as características do produto final sejam substancialmente equivalentes à matéria prima original.</w:t>
      </w:r>
    </w:p>
    <w:p w:rsidR="0046623E" w:rsidRDefault="0046623E" w:rsidP="00322142">
      <w:pPr>
        <w:tabs>
          <w:tab w:val="left" w:pos="9540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7304E2" w:rsidRDefault="007304E2" w:rsidP="00322142">
      <w:pPr>
        <w:tabs>
          <w:tab w:val="left" w:pos="9540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25A78">
        <w:rPr>
          <w:rFonts w:ascii="Arial" w:hAnsi="Arial" w:cs="Arial"/>
          <w:b/>
          <w:bCs/>
          <w:u w:val="single"/>
        </w:rPr>
        <w:t>Conhecimento tradicional associado</w:t>
      </w:r>
      <w:r w:rsidRPr="00C25A78">
        <w:rPr>
          <w:rFonts w:ascii="Arial" w:hAnsi="Arial" w:cs="Arial"/>
          <w:b/>
          <w:u w:val="single"/>
        </w:rPr>
        <w:t xml:space="preserve"> </w:t>
      </w:r>
    </w:p>
    <w:p w:rsidR="0046623E" w:rsidRPr="00C25A78" w:rsidRDefault="0046623E" w:rsidP="0046623E">
      <w:pPr>
        <w:tabs>
          <w:tab w:val="left" w:pos="9540"/>
        </w:tabs>
        <w:spacing w:after="0" w:line="360" w:lineRule="auto"/>
        <w:ind w:right="-1"/>
        <w:jc w:val="both"/>
        <w:rPr>
          <w:rFonts w:ascii="Arial" w:hAnsi="Arial" w:cs="Arial"/>
          <w:b/>
          <w:u w:val="single"/>
        </w:rPr>
      </w:pPr>
    </w:p>
    <w:p w:rsidR="007304E2" w:rsidRDefault="007304E2" w:rsidP="0046623E">
      <w:pPr>
        <w:tabs>
          <w:tab w:val="left" w:pos="709"/>
          <w:tab w:val="left" w:pos="9540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AD12FD">
        <w:rPr>
          <w:rFonts w:ascii="Arial" w:hAnsi="Arial" w:cs="Arial"/>
        </w:rPr>
        <w:t>Informação ou prática individual ou coletiva de comunidade indígena ou de comunidade local, com valor real ou potencial, a</w:t>
      </w:r>
      <w:r w:rsidR="004D5557">
        <w:rPr>
          <w:rFonts w:ascii="Arial" w:hAnsi="Arial" w:cs="Arial"/>
        </w:rPr>
        <w:t>ssociada ao patrimônio genético (art. 7º, inciso</w:t>
      </w:r>
      <w:r w:rsidRPr="00AD12FD">
        <w:rPr>
          <w:rFonts w:ascii="Arial" w:hAnsi="Arial" w:cs="Arial"/>
        </w:rPr>
        <w:t xml:space="preserve"> II da MP </w:t>
      </w:r>
      <w:r w:rsidR="004D5557">
        <w:rPr>
          <w:rFonts w:ascii="Arial" w:hAnsi="Arial" w:cs="Arial"/>
        </w:rPr>
        <w:t>2.186-16/2001).</w:t>
      </w:r>
    </w:p>
    <w:p w:rsidR="0046623E" w:rsidRPr="00AD12FD" w:rsidRDefault="0046623E" w:rsidP="0046623E">
      <w:pPr>
        <w:tabs>
          <w:tab w:val="left" w:pos="709"/>
          <w:tab w:val="left" w:pos="9540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7304E2" w:rsidRDefault="007304E2" w:rsidP="0046623E">
      <w:pPr>
        <w:tabs>
          <w:tab w:val="left" w:pos="9540"/>
        </w:tabs>
        <w:spacing w:after="0" w:line="360" w:lineRule="auto"/>
        <w:ind w:right="-1"/>
        <w:jc w:val="both"/>
        <w:rPr>
          <w:rFonts w:ascii="Arial" w:hAnsi="Arial" w:cs="Arial"/>
          <w:b/>
          <w:u w:val="single"/>
        </w:rPr>
      </w:pPr>
      <w:r w:rsidRPr="00C25A78">
        <w:rPr>
          <w:rFonts w:ascii="Arial" w:hAnsi="Arial" w:cs="Arial"/>
          <w:b/>
          <w:u w:val="single"/>
        </w:rPr>
        <w:t>Acesso ao con</w:t>
      </w:r>
      <w:r w:rsidR="00C25A78" w:rsidRPr="00C25A78">
        <w:rPr>
          <w:rFonts w:ascii="Arial" w:hAnsi="Arial" w:cs="Arial"/>
          <w:b/>
          <w:u w:val="single"/>
        </w:rPr>
        <w:t>hecimento tradicional associado</w:t>
      </w:r>
    </w:p>
    <w:p w:rsidR="0046623E" w:rsidRPr="00C25A78" w:rsidRDefault="0046623E" w:rsidP="0046623E">
      <w:pPr>
        <w:tabs>
          <w:tab w:val="left" w:pos="9540"/>
        </w:tabs>
        <w:spacing w:after="0" w:line="360" w:lineRule="auto"/>
        <w:ind w:right="-1"/>
        <w:jc w:val="both"/>
        <w:rPr>
          <w:rFonts w:ascii="Arial" w:hAnsi="Arial" w:cs="Arial"/>
          <w:b/>
          <w:u w:val="single"/>
        </w:rPr>
      </w:pPr>
    </w:p>
    <w:p w:rsidR="007304E2" w:rsidRDefault="007304E2" w:rsidP="0046623E">
      <w:pPr>
        <w:tabs>
          <w:tab w:val="left" w:pos="9540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AD12FD">
        <w:rPr>
          <w:rFonts w:ascii="Arial" w:hAnsi="Arial" w:cs="Arial"/>
        </w:rPr>
        <w:t xml:space="preserve">Obtenção de informação sobre conhecimento ou prática individual ou coletiva, associada ao patrimônio genético, de comunidade indígena ou de comunidade local, para fins de pesquisa científica, desenvolvimento tecnológico ou </w:t>
      </w:r>
      <w:proofErr w:type="spellStart"/>
      <w:r w:rsidRPr="00AD12FD">
        <w:rPr>
          <w:rFonts w:ascii="Arial" w:hAnsi="Arial" w:cs="Arial"/>
        </w:rPr>
        <w:t>bioprospecção</w:t>
      </w:r>
      <w:proofErr w:type="spellEnd"/>
      <w:r w:rsidRPr="00AD12FD">
        <w:rPr>
          <w:rFonts w:ascii="Arial" w:hAnsi="Arial" w:cs="Arial"/>
        </w:rPr>
        <w:t xml:space="preserve">, visando sua aplicação industrial ou </w:t>
      </w:r>
      <w:r w:rsidR="004D5557">
        <w:rPr>
          <w:rFonts w:ascii="Arial" w:hAnsi="Arial" w:cs="Arial"/>
        </w:rPr>
        <w:t xml:space="preserve">de outra natureza (art. 7º, inciso V da MP 2.186-16/2001). </w:t>
      </w:r>
    </w:p>
    <w:p w:rsidR="0046623E" w:rsidRPr="00AD12FD" w:rsidRDefault="0046623E" w:rsidP="0046623E">
      <w:pPr>
        <w:tabs>
          <w:tab w:val="left" w:pos="9540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7304E2" w:rsidRDefault="007304E2" w:rsidP="0046623E">
      <w:pPr>
        <w:tabs>
          <w:tab w:val="left" w:pos="9540"/>
        </w:tabs>
        <w:spacing w:after="0" w:line="360" w:lineRule="auto"/>
        <w:ind w:right="895"/>
        <w:jc w:val="both"/>
        <w:rPr>
          <w:rFonts w:ascii="Arial" w:hAnsi="Arial" w:cs="Arial"/>
          <w:b/>
          <w:bCs/>
          <w:u w:val="single"/>
        </w:rPr>
      </w:pPr>
      <w:r w:rsidRPr="0009400A">
        <w:rPr>
          <w:rFonts w:ascii="Arial" w:hAnsi="Arial" w:cs="Arial"/>
          <w:b/>
          <w:bCs/>
          <w:u w:val="single"/>
        </w:rPr>
        <w:t>Comunidade local</w:t>
      </w:r>
    </w:p>
    <w:p w:rsidR="0046623E" w:rsidRPr="0009400A" w:rsidRDefault="0046623E" w:rsidP="00322142">
      <w:pPr>
        <w:tabs>
          <w:tab w:val="left" w:pos="9540"/>
        </w:tabs>
        <w:spacing w:after="0" w:line="360" w:lineRule="auto"/>
        <w:ind w:right="896"/>
        <w:jc w:val="both"/>
        <w:rPr>
          <w:rFonts w:ascii="Arial" w:hAnsi="Arial" w:cs="Arial"/>
          <w:b/>
        </w:rPr>
      </w:pPr>
    </w:p>
    <w:p w:rsidR="007304E2" w:rsidRPr="004D5557" w:rsidRDefault="007304E2" w:rsidP="00322142">
      <w:pPr>
        <w:tabs>
          <w:tab w:val="left" w:pos="95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D5557">
        <w:rPr>
          <w:rFonts w:ascii="Arial" w:hAnsi="Arial" w:cs="Arial"/>
        </w:rPr>
        <w:lastRenderedPageBreak/>
        <w:t xml:space="preserve">Grupo humano, </w:t>
      </w:r>
      <w:r w:rsidR="0046623E" w:rsidRPr="004D5557">
        <w:rPr>
          <w:rFonts w:ascii="Arial" w:hAnsi="Arial" w:cs="Arial"/>
        </w:rPr>
        <w:t xml:space="preserve">incluindo </w:t>
      </w:r>
      <w:r w:rsidRPr="004D5557">
        <w:rPr>
          <w:rFonts w:ascii="Arial" w:hAnsi="Arial" w:cs="Arial"/>
        </w:rPr>
        <w:t>remanescentes de comunidades de quilombos, distinto por suas condições culturais, que se organiza, tradicionalmente, por gerações sucessivas e costumes próprios, e que conserva suas instituições sociais e econômicas; (art. 7º, inc</w:t>
      </w:r>
      <w:r w:rsidR="004D5557" w:rsidRPr="004D5557">
        <w:rPr>
          <w:rFonts w:ascii="Arial" w:hAnsi="Arial" w:cs="Arial"/>
        </w:rPr>
        <w:t>iso</w:t>
      </w:r>
      <w:r w:rsidRPr="004D5557">
        <w:rPr>
          <w:rFonts w:ascii="Arial" w:hAnsi="Arial" w:cs="Arial"/>
        </w:rPr>
        <w:t xml:space="preserve"> III da MP 2.186-16/2001).</w:t>
      </w:r>
    </w:p>
    <w:sectPr w:rsidR="007304E2" w:rsidRPr="004D5557" w:rsidSect="006576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53457"/>
    <w:multiLevelType w:val="hybridMultilevel"/>
    <w:tmpl w:val="C85E6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E2"/>
    <w:rsid w:val="0009400A"/>
    <w:rsid w:val="00154C43"/>
    <w:rsid w:val="001C78CB"/>
    <w:rsid w:val="00322142"/>
    <w:rsid w:val="0046623E"/>
    <w:rsid w:val="004D5557"/>
    <w:rsid w:val="0065766D"/>
    <w:rsid w:val="00661425"/>
    <w:rsid w:val="007304E2"/>
    <w:rsid w:val="00815AEF"/>
    <w:rsid w:val="008F55EA"/>
    <w:rsid w:val="00AE149A"/>
    <w:rsid w:val="00C25A78"/>
    <w:rsid w:val="00DC6006"/>
    <w:rsid w:val="00F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5CABD-53D0-41B9-A8FC-A8F421B2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4E2"/>
    <w:pPr>
      <w:ind w:left="720"/>
      <w:contextualSpacing/>
    </w:pPr>
  </w:style>
  <w:style w:type="character" w:customStyle="1" w:styleId="st">
    <w:name w:val="st"/>
    <w:basedOn w:val="Fontepargpadro"/>
    <w:rsid w:val="004D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Marcelo</cp:lastModifiedBy>
  <cp:revision>2</cp:revision>
  <dcterms:created xsi:type="dcterms:W3CDTF">2014-04-14T15:41:00Z</dcterms:created>
  <dcterms:modified xsi:type="dcterms:W3CDTF">2014-04-14T15:41:00Z</dcterms:modified>
</cp:coreProperties>
</file>